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4" w:space="1" w:color="000000"/>
        </w:pBdr>
        <w:spacing w:before="240" w:after="120"/>
        <w:rPr>
          <w:sz w:val="18"/>
          <w:szCs w:val="18"/>
        </w:rPr>
      </w:pPr>
      <w:r>
        <w:rPr>
          <w:b/>
          <w:color w:val="2E75B5"/>
          <w:sz w:val="18"/>
          <w:szCs w:val="18"/>
        </w:rPr>
        <w:t>C</w:t>
      </w:r>
      <w:r>
        <w:rPr>
          <w:b/>
          <w:color w:val="2E75B5"/>
          <w:sz w:val="17"/>
          <w:szCs w:val="17"/>
        </w:rPr>
        <w:t>ERTIFICATIONS</w:t>
      </w:r>
    </w:p>
    <w:p>
      <w:pPr>
        <w:pStyle w:val="Normal"/>
        <w:jc w:val="center"/>
        <w:rPr>
          <w:sz w:val="17"/>
          <w:szCs w:val="17"/>
        </w:rPr>
      </w:pPr>
      <w:r>
        <w:rPr>
          <w:sz w:val="17"/>
          <w:szCs w:val="17"/>
        </w:rPr>
        <w:t>AWS Certified Public Cloud Practitioner | Certified Scrum Master | Certified Cloud Penetration Tester | Microsoft Office Specialist | Internet Computing Core Practitioner</w:t>
      </w:r>
    </w:p>
    <w:p>
      <w:pPr>
        <w:pStyle w:val="Normal"/>
        <w:pBdr>
          <w:bottom w:val="single" w:sz="4" w:space="1" w:color="000000"/>
        </w:pBdr>
        <w:spacing w:before="240" w:after="120"/>
        <w:rPr>
          <w:sz w:val="17"/>
          <w:szCs w:val="17"/>
        </w:rPr>
      </w:pPr>
      <w:r>
        <w:rPr>
          <w:b/>
          <w:color w:val="2E75B5"/>
          <w:sz w:val="17"/>
          <w:szCs w:val="17"/>
        </w:rPr>
        <w:t>WORK EXPERIENCE</w:t>
      </w:r>
    </w:p>
    <w:p>
      <w:pPr>
        <w:pStyle w:val="Normal"/>
        <w:tabs>
          <w:tab w:val="clear" w:pos="720"/>
          <w:tab w:val="right" w:pos="9360" w:leader="none"/>
        </w:tabs>
        <w:spacing w:before="120" w:after="0"/>
        <w:rPr>
          <w:sz w:val="17"/>
          <w:szCs w:val="17"/>
        </w:rPr>
      </w:pPr>
      <w:r>
        <w:rPr>
          <w:b/>
          <w:sz w:val="17"/>
          <w:szCs w:val="17"/>
        </w:rPr>
        <w:t xml:space="preserve">Booz Allen Hamilton – </w:t>
      </w:r>
      <w:r>
        <w:rPr>
          <w:i/>
          <w:sz w:val="17"/>
          <w:szCs w:val="17"/>
        </w:rPr>
        <w:t>Washington, DC</w:t>
      </w:r>
      <w:r>
        <w:rPr>
          <w:sz w:val="17"/>
          <w:szCs w:val="17"/>
        </w:rPr>
        <w:tab/>
        <w:t xml:space="preserve">July 2021 </w:t>
      </w:r>
      <w:r>
        <w:rPr>
          <w:rStyle w:val="Emphasis"/>
          <w:sz w:val="17"/>
          <w:szCs w:val="17"/>
        </w:rPr>
        <w:t xml:space="preserve">– </w:t>
      </w:r>
      <w:r>
        <w:rPr>
          <w:sz w:val="17"/>
          <w:szCs w:val="17"/>
        </w:rPr>
        <w:t xml:space="preserve"> PRESENT</w:t>
      </w:r>
    </w:p>
    <w:p>
      <w:pPr>
        <w:pStyle w:val="Normal"/>
        <w:tabs>
          <w:tab w:val="clear" w:pos="720"/>
          <w:tab w:val="right" w:pos="9360" w:leader="none"/>
        </w:tabs>
        <w:spacing w:before="80" w:after="0"/>
        <w:rPr>
          <w:b/>
          <w:sz w:val="17"/>
          <w:szCs w:val="17"/>
        </w:rPr>
      </w:pPr>
      <w:r>
        <w:rPr>
          <w:b/>
          <w:sz w:val="17"/>
          <w:szCs w:val="17"/>
        </w:rPr>
        <w:t>Lead Technologist – Department of Treasury (IRS)</w:t>
      </w:r>
    </w:p>
    <w:p>
      <w:pPr>
        <w:pStyle w:val="BodyText"/>
        <w:tabs>
          <w:tab w:val="clear" w:pos="720"/>
          <w:tab w:val="right" w:pos="9360" w:leader="none"/>
        </w:tabs>
        <w:spacing w:before="80" w:after="0"/>
        <w:rPr>
          <w:b/>
          <w:sz w:val="17"/>
          <w:szCs w:val="17"/>
        </w:rPr>
      </w:pPr>
      <w:r>
        <w:rPr>
          <w:rStyle w:val="Strong"/>
          <w:sz w:val="17"/>
          <w:szCs w:val="17"/>
        </w:rPr>
        <w:t xml:space="preserve">IRS University/Cloud &amp; Infrastructure Group Instructor: </w:t>
      </w:r>
      <w:r>
        <w:rPr>
          <w:rStyle w:val="Emphasis"/>
          <w:sz w:val="17"/>
          <w:szCs w:val="17"/>
        </w:rPr>
        <w:t>[Ongoing]</w:t>
      </w:r>
      <w:r>
        <w:rPr>
          <w:rStyle w:val="Strong"/>
          <w:sz w:val="17"/>
          <w:szCs w:val="17"/>
        </w:rPr>
        <w:t>*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Serve as lead instructor for “Deciphering Cloud Architecture” course within Booz Allen’s Cloud &amp; Infrastructure Group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Train consultants and senior professionals to confidently interpret and design complex AWS cloud architecture diagrams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Accelerate colleagues’ careers by providing specialized knowledge and skills needed to lead cloud and infrastructure projects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Develop curriculum materials that translate complex cloud concepts into accessible frameworks for diverse audiences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Demonstrate expertise in AWS architecture patterns and best practices for government implementations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Mentor junior staff on cloud certification pathways and career development in AWS specializations</w:t>
      </w:r>
      <w:r>
        <w:rPr>
          <w:rStyle w:val="Strong"/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 xml:space="preserve"> </w:t>
      </w:r>
    </w:p>
    <w:p>
      <w:pPr>
        <w:pStyle w:val="BodyText"/>
        <w:tabs>
          <w:tab w:val="clear" w:pos="720"/>
          <w:tab w:val="right" w:pos="9360" w:leader="none"/>
        </w:tabs>
        <w:spacing w:before="80" w:after="0"/>
        <w:rPr>
          <w:b/>
          <w:sz w:val="17"/>
          <w:szCs w:val="17"/>
        </w:rPr>
      </w:pPr>
      <w:r>
        <w:rPr>
          <w:rStyle w:val="Strong"/>
          <w:sz w:val="17"/>
          <w:szCs w:val="17"/>
        </w:rPr>
        <w:t xml:space="preserve">Enterprise Data Platform (EDP) Customer Success Lead/Assistant Architect: </w:t>
      </w:r>
      <w:r>
        <w:rPr>
          <w:rStyle w:val="Emphasis"/>
          <w:sz w:val="17"/>
          <w:szCs w:val="17"/>
        </w:rPr>
        <w:t>[Apr 2023 – Oct 2023]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Led strategic customer engagements for new AWS Data Bricks initiatives, driving cloud adoption and alignment with Treasury objectives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Established deep technical relationships with clients by translating mission needs into cloud-based data lake features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Boosted operational efficiency by 15% through optimizing cloud processes and AWS solutions for federal tax systems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Managed client requirements as Customer Success Lead, aligning cloud development with mission-critical goals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Shaped technology roadmaps by tracking scope, effort (LOE), and deadlines from federal stakeholders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Reduced deployment risks by 20% by improving cross-team communication and cloud migration documentation</w:t>
      </w: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 xml:space="preserve"> </w:t>
      </w:r>
    </w:p>
    <w:p>
      <w:pPr>
        <w:pStyle w:val="Normal"/>
        <w:tabs>
          <w:tab w:val="clear" w:pos="720"/>
          <w:tab w:val="right" w:pos="9360" w:leader="none"/>
        </w:tabs>
        <w:spacing w:before="80" w:after="0"/>
        <w:rPr/>
      </w:pPr>
      <w:r>
        <w:rPr>
          <w:rStyle w:val="Emphasis"/>
          <w:rFonts w:eastAsia="Times New Roman" w:cs="Times New Roman"/>
          <w:b/>
          <w:bCs/>
          <w:i w:val="false"/>
          <w:iCs w:val="false"/>
          <w:color w:val="auto"/>
          <w:kern w:val="0"/>
          <w:sz w:val="17"/>
          <w:szCs w:val="17"/>
          <w:lang w:val="en-US" w:eastAsia="en-US" w:bidi="ar-SA"/>
        </w:rPr>
        <w:t>Tax Professional Online Account Requirements Standardization Lead (EPMO): [May 2024 – Present]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Develop</w:t>
      </w: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ed requirements management frameworks to ensure clarity and consistency in cloud technology deployments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Built and socialized governance frameworks to align cross-functional teams on standardized cloud solution structures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Managed stakeholder relationships and weekly status reports highlighting progress, risks, and next steps of cloud service development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17"/>
          <w:szCs w:val="17"/>
          <w:lang w:val="en-US" w:eastAsia="en-US" w:bidi="ar-SA"/>
        </w:rPr>
        <w:t>Developed a real-time defect-tracking dashboard, exposing defect volumes across DEV, TEST, and PROD environments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 xml:space="preserve">Trained 50+ stakeholders on ELM &amp; JIRA taxonomy, ensuring consistent adoption and reducing misinterpretations. 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Drove a 30% reduction in defect leakage by refining technical requirements templates and embedding validation checkpoints</w:t>
      </w:r>
    </w:p>
    <w:p>
      <w:pPr>
        <w:pStyle w:val="Normal"/>
        <w:tabs>
          <w:tab w:val="clear" w:pos="720"/>
          <w:tab w:val="right" w:pos="9360" w:leader="none"/>
        </w:tabs>
        <w:spacing w:before="80" w:after="0"/>
        <w:rPr/>
      </w:pPr>
      <w:r>
        <w:rPr>
          <w:rStyle w:val="Emphasis"/>
          <w:rFonts w:eastAsia="Times New Roman" w:cs="Times New Roman"/>
          <w:b/>
          <w:bCs/>
          <w:i w:val="false"/>
          <w:iCs w:val="false"/>
          <w:color w:val="auto"/>
          <w:kern w:val="0"/>
          <w:sz w:val="17"/>
          <w:szCs w:val="17"/>
          <w:lang w:val="en-US" w:eastAsia="en-US" w:bidi="ar-SA"/>
        </w:rPr>
        <w:t xml:space="preserve">Taxpayer Services Business Functions Analyst: </w:t>
      </w:r>
      <w:r>
        <w:rPr>
          <w:rStyle w:val="Emphasis"/>
          <w:rFonts w:eastAsia="Times New Roman" w:cs="Times New Roman"/>
          <w:b/>
          <w:bCs/>
          <w:color w:val="auto"/>
          <w:kern w:val="0"/>
          <w:sz w:val="17"/>
          <w:szCs w:val="17"/>
          <w:lang w:val="en-US" w:eastAsia="en-US" w:bidi="ar-SA"/>
        </w:rPr>
        <w:t xml:space="preserve">[Oct 2023 </w:t>
      </w:r>
      <w:r>
        <w:rPr>
          <w:rStyle w:val="Emphasis"/>
          <w:rFonts w:eastAsia="Times New Roman" w:cs="Times New Roman"/>
          <w:b/>
          <w:bCs/>
          <w:i w:val="false"/>
          <w:iCs w:val="false"/>
          <w:color w:val="auto"/>
          <w:kern w:val="0"/>
          <w:sz w:val="17"/>
          <w:szCs w:val="17"/>
          <w:lang w:val="en-US" w:eastAsia="en-US" w:bidi="ar-SA"/>
        </w:rPr>
        <w:t xml:space="preserve">– </w:t>
      </w:r>
      <w:r>
        <w:rPr>
          <w:rStyle w:val="Emphasis"/>
          <w:rFonts w:eastAsia="Times New Roman" w:cs="Times New Roman"/>
          <w:b/>
          <w:bCs/>
          <w:color w:val="auto"/>
          <w:kern w:val="0"/>
          <w:sz w:val="17"/>
          <w:szCs w:val="17"/>
          <w:lang w:val="en-US" w:eastAsia="en-US" w:bidi="ar-SA"/>
        </w:rPr>
        <w:t>May 2024]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Led cross-functional intake sessions with Treasury subdivisions to capture requirements for cloud-based solutions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Managed implementation of eGain platform and refined customer relationship management tools in Treasury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Conducted intake processes to incorporate Salesforce CRM into agency operations, enhancing stakeholder tracking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Translated complex federal business needs into technical AWS requirements, ensuring alignment with development roadmaps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Served as the liaison between business units and technical teams to streamline cloud adoption and service requests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Tracked and analyzed cloud technology demand trends to forecast resource needs for future contract acquisitions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Contributed to Treasury road map prioritization by evaluating use cases against budget, feasibility, and strategic goals</w:t>
      </w:r>
    </w:p>
    <w:p>
      <w:pPr>
        <w:pStyle w:val="Normal"/>
        <w:tabs>
          <w:tab w:val="clear" w:pos="720"/>
          <w:tab w:val="right" w:pos="9360" w:leader="none"/>
        </w:tabs>
        <w:spacing w:before="80" w:after="0"/>
        <w:rPr/>
      </w:pPr>
      <w:r>
        <w:rPr>
          <w:b/>
          <w:i w:val="false"/>
          <w:iCs w:val="false"/>
          <w:sz w:val="17"/>
          <w:szCs w:val="17"/>
          <w:u w:val="none"/>
        </w:rPr>
        <w:t xml:space="preserve">IVES and IRMod Architecture Documentation Lead: </w:t>
      </w:r>
      <w:r>
        <w:rPr>
          <w:rStyle w:val="Emphasis"/>
          <w:b/>
          <w:sz w:val="17"/>
          <w:szCs w:val="17"/>
          <w:u w:val="none"/>
        </w:rPr>
        <w:t xml:space="preserve">[Sept 2022 </w:t>
      </w:r>
      <w:r>
        <w:rPr>
          <w:rStyle w:val="Emphasis"/>
          <w:rFonts w:eastAsia="Times New Roman" w:cs="Times New Roman"/>
          <w:b/>
          <w:bCs/>
          <w:i w:val="false"/>
          <w:iCs w:val="false"/>
          <w:color w:val="auto"/>
          <w:kern w:val="0"/>
          <w:sz w:val="17"/>
          <w:szCs w:val="17"/>
          <w:u w:val="none"/>
          <w:lang w:val="en-US" w:eastAsia="en-US" w:bidi="ar-SA"/>
        </w:rPr>
        <w:t>–</w:t>
      </w:r>
      <w:r>
        <w:rPr>
          <w:rStyle w:val="Emphasis"/>
          <w:b/>
          <w:sz w:val="17"/>
          <w:szCs w:val="17"/>
          <w:u w:val="none"/>
        </w:rPr>
        <w:t xml:space="preserve"> Oct 2023]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Developed comprehensive Vision, Scope, Architecture documents to guide Treasury system modernization efforts to cloud platforms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Created service level agreements for federal IT Organizations to ensure successful deployments of modernized cloud systems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Captured input from diverse stakeholders through intake sessions to ensure alignment with agency mission goals and cloud strategies</w:t>
      </w:r>
    </w:p>
    <w:p>
      <w:pPr>
        <w:pStyle w:val="BodyText"/>
        <w:numPr>
          <w:ilvl w:val="0"/>
          <w:numId w:val="2"/>
        </w:numPr>
        <w:tabs>
          <w:tab w:val="clear" w:pos="720"/>
          <w:tab w:val="right" w:pos="9360" w:leader="none"/>
        </w:tabs>
        <w:spacing w:before="0" w:after="0"/>
        <w:rPr>
          <w:sz w:val="17"/>
          <w:szCs w:val="17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Designed architecture capabilities for federal tax systems modernization efforts leveraging AWS technologies</w:t>
      </w:r>
    </w:p>
    <w:p>
      <w:pPr>
        <w:pStyle w:val="Normal"/>
        <w:tabs>
          <w:tab w:val="clear" w:pos="720"/>
          <w:tab w:val="right" w:pos="9360" w:leader="none"/>
        </w:tabs>
        <w:spacing w:before="120" w:after="0"/>
        <w:rPr>
          <w:sz w:val="17"/>
          <w:szCs w:val="17"/>
        </w:rPr>
      </w:pPr>
      <w:r>
        <w:rPr/>
      </w:r>
    </w:p>
    <w:p>
      <w:pPr>
        <w:pStyle w:val="Normal"/>
        <w:tabs>
          <w:tab w:val="clear" w:pos="720"/>
          <w:tab w:val="right" w:pos="9360" w:leader="none"/>
        </w:tabs>
        <w:spacing w:before="120" w:after="0"/>
        <w:rPr>
          <w:sz w:val="17"/>
          <w:szCs w:val="17"/>
        </w:rPr>
      </w:pPr>
      <w:r>
        <w:rPr/>
      </w:r>
    </w:p>
    <w:p>
      <w:pPr>
        <w:pStyle w:val="Normal"/>
        <w:tabs>
          <w:tab w:val="clear" w:pos="720"/>
          <w:tab w:val="right" w:pos="9360" w:leader="none"/>
        </w:tabs>
        <w:spacing w:before="120" w:after="0"/>
        <w:rPr>
          <w:sz w:val="17"/>
          <w:szCs w:val="17"/>
        </w:rPr>
      </w:pPr>
      <w:r>
        <w:rPr/>
      </w:r>
    </w:p>
    <w:p>
      <w:pPr>
        <w:pStyle w:val="Normal"/>
        <w:tabs>
          <w:tab w:val="clear" w:pos="720"/>
          <w:tab w:val="right" w:pos="9360" w:leader="none"/>
        </w:tabs>
        <w:spacing w:before="120" w:after="0"/>
        <w:rPr>
          <w:sz w:val="17"/>
          <w:szCs w:val="17"/>
        </w:rPr>
      </w:pPr>
      <w:r>
        <w:rPr/>
      </w:r>
    </w:p>
    <w:p>
      <w:pPr>
        <w:pStyle w:val="Normal"/>
        <w:tabs>
          <w:tab w:val="clear" w:pos="720"/>
          <w:tab w:val="right" w:pos="9360" w:leader="none"/>
        </w:tabs>
        <w:spacing w:before="120" w:after="0"/>
        <w:rPr>
          <w:sz w:val="17"/>
          <w:szCs w:val="17"/>
        </w:rPr>
      </w:pPr>
      <w:r>
        <w:rPr>
          <w:b/>
          <w:sz w:val="17"/>
          <w:szCs w:val="17"/>
        </w:rPr>
        <w:t xml:space="preserve">Buchanan &amp; Edwards – </w:t>
      </w:r>
      <w:r>
        <w:rPr>
          <w:i/>
          <w:sz w:val="17"/>
          <w:szCs w:val="17"/>
        </w:rPr>
        <w:t>Arlington, VA</w:t>
      </w:r>
      <w:r>
        <w:rPr>
          <w:sz w:val="17"/>
          <w:szCs w:val="17"/>
        </w:rPr>
        <w:tab/>
        <w:t xml:space="preserve">        March 2018 – June 2021</w:t>
      </w:r>
    </w:p>
    <w:p>
      <w:pPr>
        <w:pStyle w:val="Normal"/>
        <w:tabs>
          <w:tab w:val="clear" w:pos="720"/>
          <w:tab w:val="right" w:pos="9360" w:leader="none"/>
        </w:tabs>
        <w:spacing w:before="80" w:after="0"/>
        <w:rPr>
          <w:sz w:val="17"/>
          <w:szCs w:val="17"/>
        </w:rPr>
      </w:pPr>
      <w:r>
        <w:rPr>
          <w:b/>
          <w:sz w:val="17"/>
          <w:szCs w:val="17"/>
        </w:rPr>
        <w:t>Business Consultant</w:t>
      </w:r>
    </w:p>
    <w:p>
      <w:pPr>
        <w:pStyle w:val="Normal"/>
        <w:rPr>
          <w:sz w:val="17"/>
          <w:szCs w:val="17"/>
        </w:rPr>
      </w:pPr>
      <w:r>
        <w:rPr>
          <w:sz w:val="17"/>
          <w:szCs w:val="17"/>
        </w:rPr>
        <w:t>Supported the US Department of Agriculture (USDA), Integrated Acquisition IT Systems (IAS) in Washington, DC.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Led adoption of a cloud-first mindset, guiding USDA customers in understanding the benefits and impact of AWS architectures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Supported USDA’s 2-year COTS migration to AWS to drive increased business value and operational efficiency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Analyzed and monitored KPIs to optimize performance across Technical and Service cloud operations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Secured contract funding to fulfill customer commitments, ensuring timely diversely of AWS products and services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Presented cost-benefit analysis in data/calls/meetings, driving cloud adoption and ROI focused decisions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Established deep business and technical relationships through in-depth knowledge of customer mission requirements</w:t>
      </w:r>
    </w:p>
    <w:p>
      <w:pPr>
        <w:pStyle w:val="Normal"/>
        <w:pBdr>
          <w:bottom w:val="single" w:sz="4" w:space="1" w:color="000000"/>
        </w:pBdr>
        <w:spacing w:before="240" w:after="120"/>
        <w:rPr>
          <w:sz w:val="17"/>
          <w:szCs w:val="17"/>
        </w:rPr>
      </w:pPr>
      <w:r>
        <w:rPr>
          <w:b/>
          <w:color w:val="2E75B5"/>
          <w:sz w:val="17"/>
          <w:szCs w:val="17"/>
        </w:rPr>
        <w:t>PERSONAL PROJECTS</w:t>
        <w:tab/>
      </w:r>
    </w:p>
    <w:p>
      <w:pPr>
        <w:pStyle w:val="Normal"/>
        <w:pBdr>
          <w:bottom w:val="single" w:sz="4" w:space="1" w:color="000000"/>
        </w:pBdr>
        <w:spacing w:before="240" w:after="120"/>
        <w:rPr>
          <w:b/>
          <w:bCs/>
          <w:color w:val="000000"/>
        </w:rPr>
      </w:pPr>
      <w:r>
        <w:rPr>
          <w:b/>
          <w:bCs/>
          <w:color w:val="000000"/>
          <w:sz w:val="17"/>
          <w:szCs w:val="17"/>
        </w:rPr>
        <w:t>AWS Database Migration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Successfully completed complex database migration to AWS cloud services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Documented step-by-step process for future implementations</w:t>
      </w:r>
    </w:p>
    <w:p>
      <w:pPr>
        <w:pStyle w:val="Normal"/>
        <w:pBdr>
          <w:bottom w:val="single" w:sz="4" w:space="1" w:color="000000"/>
        </w:pBdr>
        <w:spacing w:before="120" w:after="0"/>
        <w:rPr>
          <w:sz w:val="17"/>
          <w:szCs w:val="17"/>
        </w:rPr>
      </w:pPr>
      <w:hyperlink r:id="rId2">
        <w:r>
          <w:rPr>
            <w:rStyle w:val="Hyperlink"/>
            <w:sz w:val="17"/>
            <w:szCs w:val="17"/>
          </w:rPr>
          <w:t>https://dev.to/itsmenilik/my-epic-journey-with-aws-database-migration-service-a-step-by-step-odyssey-i14</w:t>
        </w:r>
      </w:hyperlink>
    </w:p>
    <w:p>
      <w:pPr>
        <w:pStyle w:val="Normal"/>
        <w:pBdr>
          <w:bottom w:val="single" w:sz="4" w:space="1" w:color="000000"/>
        </w:pBdr>
        <w:spacing w:before="240" w:after="120"/>
        <w:rPr>
          <w:rFonts w:ascii="Times New Roman" w:hAnsi="Times New Roman" w:eastAsia="Times New Roman" w:cs="Times New Roman"/>
          <w:b/>
          <w:color w:val="000000"/>
          <w:sz w:val="17"/>
          <w:szCs w:val="17"/>
        </w:rPr>
      </w:pPr>
      <w:r>
        <w:rPr>
          <w:rFonts w:eastAsia="Times New Roman" w:cs="Times New Roman"/>
          <w:b/>
          <w:color w:val="000000"/>
          <w:sz w:val="17"/>
          <w:szCs w:val="17"/>
        </w:rPr>
        <w:t>Building a Simple Data Lake on AWS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Developed proof-of-concept data lake architecture using AWS S3, AWS Glue, AWS RDS, and related services for ETL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auto"/>
          <w:kern w:val="0"/>
          <w:sz w:val="17"/>
          <w:szCs w:val="17"/>
          <w:lang w:val="en-US" w:eastAsia="en-US" w:bidi="ar-SA"/>
        </w:rPr>
      </w:pPr>
      <w:r>
        <w:rPr>
          <w:rFonts w:eastAsia="Times New Roman" w:cs="Times New Roman"/>
          <w:color w:val="auto"/>
          <w:kern w:val="0"/>
          <w:sz w:val="17"/>
          <w:szCs w:val="17"/>
          <w:lang w:val="en-US" w:eastAsia="en-US" w:bidi="ar-SA"/>
        </w:rPr>
        <w:t>Applied government compliance considerations to cloud architecture design</w:t>
      </w:r>
    </w:p>
    <w:p>
      <w:pPr>
        <w:pStyle w:val="Normal"/>
        <w:pBdr>
          <w:bottom w:val="single" w:sz="4" w:space="1" w:color="000000"/>
        </w:pBdr>
        <w:spacing w:before="240" w:after="120"/>
        <w:rPr>
          <w:sz w:val="17"/>
          <w:szCs w:val="17"/>
        </w:rPr>
      </w:pPr>
      <w:r>
        <w:rPr>
          <w:rStyle w:val="Hyperlink"/>
          <w:sz w:val="17"/>
          <w:szCs w:val="17"/>
        </w:rPr>
        <w:t>https://dev.to/itsmenilik/learning-by-doing-my-journey-of-exploring-a-project-similar-to-my-employergovernment-project-3bng</w:t>
      </w:r>
    </w:p>
    <w:p>
      <w:pPr>
        <w:pStyle w:val="Normal"/>
        <w:pBdr>
          <w:bottom w:val="single" w:sz="4" w:space="1" w:color="000000"/>
        </w:pBdr>
        <w:spacing w:before="240" w:after="120"/>
        <w:rPr>
          <w:rFonts w:ascii="Times New Roman" w:hAnsi="Times New Roman" w:eastAsia="Times New Roman" w:cs="Times New Roman"/>
          <w:b/>
          <w:sz w:val="17"/>
          <w:szCs w:val="17"/>
        </w:rPr>
      </w:pPr>
      <w:r>
        <w:rPr>
          <w:rFonts w:eastAsia="Times New Roman" w:cs="Times New Roman"/>
          <w:b/>
          <w:sz w:val="17"/>
          <w:szCs w:val="17"/>
        </w:rPr>
        <w:t>Building a CRUD application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Created scalable web application utilizing multiple AWS Services</w:t>
      </w:r>
    </w:p>
    <w:p>
      <w:pPr>
        <w:pStyle w:val="ListParagraph"/>
        <w:numPr>
          <w:ilvl w:val="0"/>
          <w:numId w:val="1"/>
        </w:numPr>
        <w:rPr>
          <w:sz w:val="17"/>
          <w:szCs w:val="17"/>
        </w:rPr>
      </w:pPr>
      <w:r>
        <w:rPr>
          <w:sz w:val="17"/>
          <w:szCs w:val="17"/>
          <w:lang w:val="en-US"/>
        </w:rPr>
        <w:t>Documented cloud architecture designs for future implementations</w:t>
      </w:r>
    </w:p>
    <w:p>
      <w:pPr>
        <w:pStyle w:val="Normal"/>
        <w:pBdr>
          <w:bottom w:val="single" w:sz="4" w:space="1" w:color="000000"/>
        </w:pBdr>
        <w:spacing w:before="240" w:after="120"/>
        <w:rPr>
          <w:sz w:val="17"/>
          <w:szCs w:val="17"/>
        </w:rPr>
      </w:pPr>
      <w:hyperlink r:id="rId3">
        <w:r>
          <w:rPr>
            <w:rStyle w:val="Hyperlink"/>
            <w:sz w:val="17"/>
            <w:szCs w:val="17"/>
          </w:rPr>
          <w:t>https://dev.to/itsmenilik/what-the-crud-is-this-479d</w:t>
        </w:r>
      </w:hyperlink>
    </w:p>
    <w:p>
      <w:pPr>
        <w:pStyle w:val="Normal"/>
        <w:pBdr>
          <w:bottom w:val="single" w:sz="4" w:space="1" w:color="000000"/>
        </w:pBdr>
        <w:spacing w:before="240" w:after="120"/>
        <w:rPr>
          <w:sz w:val="17"/>
          <w:szCs w:val="17"/>
        </w:rPr>
      </w:pPr>
      <w:r>
        <w:rPr>
          <w:sz w:val="17"/>
          <w:szCs w:val="17"/>
        </w:rPr>
        <w:t xml:space="preserve"> </w:t>
      </w:r>
      <w:r>
        <w:rPr>
          <w:b/>
          <w:color w:val="2E75B5"/>
          <w:sz w:val="17"/>
          <w:szCs w:val="17"/>
        </w:rPr>
        <w:t>EDUCATION</w:t>
        <w:tab/>
      </w:r>
    </w:p>
    <w:p>
      <w:pPr>
        <w:pStyle w:val="Normal"/>
        <w:spacing w:before="120" w:after="0"/>
        <w:rPr>
          <w:sz w:val="17"/>
          <w:szCs w:val="17"/>
        </w:rPr>
      </w:pPr>
      <w:r>
        <w:rPr>
          <w:b/>
          <w:sz w:val="17"/>
          <w:szCs w:val="17"/>
        </w:rPr>
        <w:t xml:space="preserve">Bachelor of Science – Business Information Technology – </w:t>
      </w:r>
      <w:r>
        <w:rPr>
          <w:i/>
          <w:sz w:val="17"/>
          <w:szCs w:val="17"/>
        </w:rPr>
        <w:t>Virginia Tech, Blacksburg</w:t>
      </w:r>
      <w:r>
        <w:rPr>
          <w:sz w:val="17"/>
          <w:szCs w:val="17"/>
        </w:rPr>
        <w:t xml:space="preserve">                                Graduation Year – July 2017</w:t>
      </w:r>
    </w:p>
    <w:p>
      <w:pPr>
        <w:pStyle w:val="Normal"/>
        <w:pBdr>
          <w:bottom w:val="single" w:sz="4" w:space="1" w:color="000000"/>
        </w:pBdr>
        <w:spacing w:before="240" w:after="120"/>
        <w:rPr>
          <w:sz w:val="17"/>
          <w:szCs w:val="17"/>
        </w:rPr>
      </w:pPr>
      <w:r>
        <w:rPr>
          <w:b/>
          <w:color w:val="2E75B5"/>
          <w:sz w:val="17"/>
          <w:szCs w:val="17"/>
        </w:rPr>
        <w:t>TECHNICAL SKILLS  &amp;  TOOLS</w:t>
      </w:r>
    </w:p>
    <w:p>
      <w:pPr>
        <w:pStyle w:val="Normal"/>
        <w:jc w:val="center"/>
        <w:rPr>
          <w:sz w:val="17"/>
          <w:szCs w:val="17"/>
        </w:rPr>
      </w:pPr>
      <w:r>
        <w:rPr>
          <w:sz w:val="17"/>
          <w:szCs w:val="17"/>
        </w:rPr>
        <w:t xml:space="preserve">AWS Cloud Services (EC2, S3, </w:t>
      </w:r>
      <w:r>
        <w:rPr>
          <w:sz w:val="17"/>
          <w:szCs w:val="17"/>
        </w:rPr>
        <w:t>RDS</w:t>
      </w:r>
      <w:r>
        <w:rPr>
          <w:sz w:val="17"/>
          <w:szCs w:val="17"/>
        </w:rPr>
        <w:t xml:space="preserve">) | Cloud Architecture | Cloud Evangelism &amp; Training | Security Clearance Eligible (U.S. Citizen) | Customer Relationship Management | Salesforce CRM | eGain | Business Development | Technical Sales | Federal Government Experience | Cross-Agency Knowledge | Requirements Gathering | System Development Life Cycle | Cloud Computing | Data Bricks | Enterprise Architecture | DevOps | SAFe | Analytics | Partner Engagement | Customer Success </w:t>
      </w:r>
    </w:p>
    <w:sectPr>
      <w:headerReference w:type="default" r:id="rId4"/>
      <w:type w:val="nextPage"/>
      <w:pgSz w:w="12240" w:h="15840"/>
      <w:pgMar w:left="1440" w:right="1440" w:gutter="0" w:header="72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 Symbols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1" w:color="000000"/>
      </w:pBdr>
      <w:spacing w:before="120" w:after="0"/>
      <w:jc w:val="center"/>
      <w:rPr/>
    </w:pPr>
    <w:bookmarkStart w:id="0" w:name="_gjdgxs"/>
    <w:bookmarkEnd w:id="0"/>
    <w:r>
      <w:rPr>
        <w:b/>
        <w:color w:val="353744"/>
        <w:sz w:val="50"/>
        <w:szCs w:val="50"/>
      </w:rPr>
      <w:t xml:space="preserve">Menilik A. Lemma                                    </w:t>
    </w:r>
    <w:r>
      <w:rPr>
        <w:b/>
        <w:color w:val="353744"/>
        <w:sz w:val="32"/>
        <w:szCs w:val="50"/>
      </w:rPr>
      <w:t>(Active Top Secret Clearance)</w:t>
    </w:r>
  </w:p>
  <w:p>
    <w:pPr>
      <w:pStyle w:val="Normal"/>
      <w:spacing w:before="120" w:after="0"/>
      <w:jc w:val="center"/>
      <w:rPr/>
    </w:pPr>
    <w:r>
      <w:rPr>
        <w:sz w:val="20"/>
        <w:szCs w:val="20"/>
      </w:rPr>
      <w:t xml:space="preserve">703-981-1012 </w:t>
    </w:r>
    <w:r>
      <w:rPr>
        <w:rFonts w:eastAsia="Noto Sans Symbols" w:cs="Noto Sans Symbols" w:ascii="Noto Sans Symbols" w:hAnsi="Noto Sans Symbols"/>
        <w:sz w:val="20"/>
        <w:szCs w:val="20"/>
      </w:rPr>
      <w:t>∙</w:t>
    </w:r>
    <w:r>
      <w:rPr>
        <w:sz w:val="20"/>
        <w:szCs w:val="20"/>
      </w:rPr>
      <w:t xml:space="preserve"> Alexandria, VA 22310 </w:t>
    </w:r>
    <w:r>
      <w:rPr>
        <w:rFonts w:eastAsia="Noto Sans Symbols" w:cs="Noto Sans Symbols" w:ascii="Noto Sans Symbols" w:hAnsi="Noto Sans Symbols"/>
        <w:sz w:val="20"/>
        <w:szCs w:val="20"/>
      </w:rPr>
      <w:t>∙</w:t>
    </w:r>
    <w:r>
      <w:rPr>
        <w:sz w:val="20"/>
        <w:szCs w:val="20"/>
      </w:rPr>
      <w:t xml:space="preserve"> menasflem@protonmail.com </w:t>
    </w:r>
    <w:r>
      <w:rPr>
        <w:rFonts w:eastAsia="Noto Sans Symbols" w:cs="Noto Sans Symbols" w:ascii="Noto Sans Symbols" w:hAnsi="Noto Sans Symbols"/>
        <w:sz w:val="20"/>
        <w:szCs w:val="20"/>
      </w:rPr>
      <w:t>∙</w:t>
    </w:r>
    <w:r>
      <w:rPr>
        <w:sz w:val="20"/>
        <w:szCs w:val="20"/>
      </w:rPr>
      <w:t xml:space="preserve"> linkedin.com/in/meniliklemma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5551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15551b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15551b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27c89"/>
    <w:rPr>
      <w:rFonts w:ascii="Times New Roman" w:hAnsi="Times New Roman" w:eastAsia="Times New Roman" w:cs="Times New Roman"/>
      <w:sz w:val="18"/>
      <w:szCs w:val="18"/>
    </w:rPr>
  </w:style>
  <w:style w:type="character" w:styleId="NumberingSymbols" w:customStyle="1">
    <w:name w:val="Numbering Symbols"/>
    <w:qFormat/>
    <w:rPr/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FollowedHyperlink">
    <w:name w:val="FollowedHyperlink"/>
    <w:rPr>
      <w:color w:val="800000"/>
      <w:u w:val="single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15551b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15551b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ListParagraph">
    <w:name w:val="List Paragraph"/>
    <w:basedOn w:val="Normal"/>
    <w:uiPriority w:val="34"/>
    <w:qFormat/>
    <w:rsid w:val="0015551b"/>
    <w:pPr>
      <w:spacing w:before="0" w:after="0"/>
      <w:ind w:hanging="0"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27c89"/>
    <w:pPr/>
    <w:rPr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ev.to/itsmenilik/my-epic-journey-with-aws-database-migration-service-a-step-by-step-odyssey-i14" TargetMode="External"/><Relationship Id="rId3" Type="http://schemas.openxmlformats.org/officeDocument/2006/relationships/hyperlink" Target="https://dev.to/itsmenilik/what-the-crud-is-this-479d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Application>LibreOffice/7.6.2.1$Windows_X86_64 LibreOffice_project/56f7684011345957bbf33a7ee678afaf4d2ba333</Application>
  <AppVersion>15.0000</AppVersion>
  <Pages>2</Pages>
  <Words>845</Words>
  <Characters>5726</Characters>
  <CharactersWithSpaces>6559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2023-06-22T18:07:00Z</dcterms:created>
  <dc:creator>Menilik Lemma</dc:creator>
  <dc:description/>
  <dc:language>en-US</dc:language>
  <cp:lastModifiedBy/>
  <cp:lastPrinted>2021-03-16T23:25:00Z</cp:lastPrinted>
  <dcterms:modified xsi:type="dcterms:W3CDTF">2025-04-14T12:44:50Z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